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5C" w:rsidRPr="00A3375C" w:rsidRDefault="00A3375C" w:rsidP="00A3375C">
      <w:pPr>
        <w:pStyle w:val="Heading1"/>
        <w:ind w:left="6480" w:right="-394" w:firstLine="0"/>
        <w:rPr>
          <w:rFonts w:asciiTheme="majorBidi" w:hAnsiTheme="majorBidi" w:cstheme="majorBidi"/>
          <w:b w:val="0"/>
          <w:bCs/>
          <w:sz w:val="24"/>
          <w:szCs w:val="24"/>
          <w:lang w:val="ro-RO"/>
        </w:rPr>
      </w:pPr>
      <w:bookmarkStart w:id="0" w:name="_Toc495395277"/>
      <w:r w:rsidRPr="00A3375C">
        <w:rPr>
          <w:rFonts w:asciiTheme="majorBidi" w:hAnsiTheme="majorBidi" w:cstheme="majorBidi"/>
          <w:b w:val="0"/>
          <w:bCs/>
          <w:sz w:val="24"/>
          <w:szCs w:val="24"/>
          <w:lang w:val="ro-RO"/>
        </w:rPr>
        <w:t>Anexa nr. 8</w:t>
      </w:r>
      <w:bookmarkEnd w:id="0"/>
    </w:p>
    <w:p w:rsidR="00A3375C" w:rsidRPr="00A3375C" w:rsidRDefault="00A3375C" w:rsidP="00A3375C">
      <w:pPr>
        <w:tabs>
          <w:tab w:val="left" w:pos="1134"/>
        </w:tabs>
        <w:ind w:left="4320"/>
        <w:rPr>
          <w:rFonts w:asciiTheme="majorBidi" w:hAnsiTheme="majorBidi" w:cstheme="majorBidi"/>
          <w:color w:val="000000"/>
          <w:sz w:val="24"/>
          <w:szCs w:val="24"/>
          <w:shd w:val="clear" w:color="auto" w:fill="FFFFFF"/>
          <w:lang w:val="ro-RO"/>
        </w:rPr>
      </w:pPr>
      <w:r w:rsidRPr="00A3375C">
        <w:rPr>
          <w:rFonts w:asciiTheme="majorBidi" w:hAnsiTheme="majorBidi" w:cstheme="majorBidi"/>
          <w:sz w:val="24"/>
          <w:szCs w:val="24"/>
          <w:lang w:val="ro-RO" w:eastAsia="ru-RU"/>
        </w:rPr>
        <w:t xml:space="preserve">la </w:t>
      </w:r>
      <w:r w:rsidRPr="00A3375C">
        <w:rPr>
          <w:rFonts w:asciiTheme="majorBidi" w:hAnsiTheme="majorBidi" w:cstheme="majorBidi"/>
          <w:color w:val="000000"/>
          <w:sz w:val="24"/>
          <w:szCs w:val="24"/>
          <w:shd w:val="clear" w:color="auto" w:fill="FFFFFF"/>
          <w:lang w:val="ro-RO"/>
        </w:rPr>
        <w:t xml:space="preserve">Regulamentul privind deșeurile </w:t>
      </w:r>
    </w:p>
    <w:p w:rsidR="00A3375C" w:rsidRPr="00A3375C" w:rsidRDefault="00A3375C" w:rsidP="00A3375C">
      <w:pPr>
        <w:tabs>
          <w:tab w:val="left" w:pos="1134"/>
        </w:tabs>
        <w:ind w:left="4320"/>
        <w:rPr>
          <w:rFonts w:asciiTheme="majorBidi" w:hAnsiTheme="majorBidi" w:cstheme="majorBidi"/>
          <w:sz w:val="24"/>
          <w:szCs w:val="24"/>
          <w:lang w:val="ro-RO" w:eastAsia="ru-RU"/>
        </w:rPr>
      </w:pPr>
      <w:r w:rsidRPr="00A3375C">
        <w:rPr>
          <w:rFonts w:asciiTheme="majorBidi" w:hAnsiTheme="majorBidi" w:cstheme="majorBidi"/>
          <w:color w:val="000000"/>
          <w:sz w:val="24"/>
          <w:szCs w:val="24"/>
          <w:shd w:val="clear" w:color="auto" w:fill="FFFFFF"/>
          <w:lang w:val="ro-RO"/>
        </w:rPr>
        <w:t>de echipamente electrice și electronice</w:t>
      </w:r>
    </w:p>
    <w:p w:rsidR="00A3375C" w:rsidRPr="00A3375C" w:rsidRDefault="00A3375C" w:rsidP="00A3375C">
      <w:pPr>
        <w:tabs>
          <w:tab w:val="left" w:pos="1134"/>
        </w:tabs>
        <w:ind w:firstLine="709"/>
        <w:rPr>
          <w:rFonts w:asciiTheme="majorBidi" w:hAnsiTheme="majorBidi" w:cstheme="majorBidi"/>
          <w:sz w:val="24"/>
          <w:szCs w:val="24"/>
          <w:lang w:val="ro-RO" w:eastAsia="ru-RU"/>
        </w:rPr>
      </w:pPr>
    </w:p>
    <w:p w:rsidR="00A3375C" w:rsidRPr="00A3375C" w:rsidRDefault="00A3375C" w:rsidP="00A3375C">
      <w:pPr>
        <w:rPr>
          <w:sz w:val="24"/>
          <w:szCs w:val="24"/>
          <w:lang w:val="ro-RO"/>
        </w:rPr>
      </w:pPr>
    </w:p>
    <w:p w:rsidR="00A3375C" w:rsidRPr="00A3375C" w:rsidRDefault="00A3375C" w:rsidP="00A3375C">
      <w:pPr>
        <w:pStyle w:val="Heading1"/>
        <w:spacing w:before="0" w:after="0"/>
        <w:jc w:val="center"/>
        <w:rPr>
          <w:rFonts w:asciiTheme="majorBidi" w:hAnsiTheme="majorBidi" w:cstheme="majorBidi"/>
          <w:sz w:val="24"/>
          <w:szCs w:val="24"/>
          <w:lang w:val="ro-RO"/>
        </w:rPr>
      </w:pPr>
      <w:bookmarkStart w:id="1" w:name="_Toc495395278"/>
    </w:p>
    <w:p w:rsidR="00A3375C" w:rsidRPr="00A3375C" w:rsidRDefault="00A3375C" w:rsidP="00A3375C">
      <w:pPr>
        <w:pStyle w:val="Heading1"/>
        <w:spacing w:before="0" w:after="0"/>
        <w:jc w:val="center"/>
        <w:rPr>
          <w:rFonts w:asciiTheme="majorBidi" w:hAnsiTheme="majorBidi" w:cstheme="majorBidi"/>
          <w:sz w:val="24"/>
          <w:szCs w:val="24"/>
          <w:lang w:val="ro-RO"/>
        </w:rPr>
      </w:pPr>
      <w:r w:rsidRPr="00A3375C">
        <w:rPr>
          <w:rFonts w:asciiTheme="majorBidi" w:hAnsiTheme="majorBidi" w:cstheme="majorBidi"/>
          <w:sz w:val="24"/>
          <w:szCs w:val="24"/>
          <w:lang w:val="ro-RO"/>
        </w:rPr>
        <w:t>STRUCTURA</w:t>
      </w:r>
    </w:p>
    <w:p w:rsidR="00A3375C" w:rsidRPr="00A3375C" w:rsidRDefault="00A3375C" w:rsidP="00A3375C">
      <w:pPr>
        <w:pStyle w:val="Heading1"/>
        <w:spacing w:before="0" w:after="0"/>
        <w:jc w:val="center"/>
        <w:rPr>
          <w:rFonts w:asciiTheme="majorBidi" w:hAnsiTheme="majorBidi" w:cstheme="majorBidi"/>
          <w:sz w:val="24"/>
          <w:szCs w:val="24"/>
          <w:lang w:val="ro-RO"/>
        </w:rPr>
      </w:pPr>
      <w:r w:rsidRPr="00A3375C">
        <w:rPr>
          <w:rFonts w:asciiTheme="majorBidi" w:hAnsiTheme="majorBidi" w:cstheme="majorBidi"/>
          <w:sz w:val="24"/>
          <w:szCs w:val="24"/>
          <w:lang w:val="ro-RO"/>
        </w:rPr>
        <w:t>planului de operare a sistemului individual și colectiv</w:t>
      </w:r>
      <w:bookmarkEnd w:id="1"/>
    </w:p>
    <w:p w:rsidR="00A3375C" w:rsidRPr="00A3375C" w:rsidRDefault="00A3375C" w:rsidP="00A3375C">
      <w:pPr>
        <w:rPr>
          <w:rFonts w:asciiTheme="majorBidi" w:hAnsiTheme="majorBidi" w:cstheme="majorBidi"/>
          <w:color w:val="000000"/>
          <w:sz w:val="24"/>
          <w:szCs w:val="24"/>
          <w:lang w:val="ro-RO"/>
        </w:rPr>
      </w:pP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b/>
          <w:bCs/>
          <w:color w:val="000000"/>
          <w:sz w:val="24"/>
          <w:szCs w:val="24"/>
          <w:lang w:val="ro-RO"/>
        </w:rPr>
        <w:t>1.</w:t>
      </w:r>
      <w:r w:rsidRPr="00A3375C">
        <w:rPr>
          <w:rFonts w:asciiTheme="majorBidi" w:hAnsiTheme="majorBidi" w:cstheme="majorBidi"/>
          <w:color w:val="000000"/>
          <w:sz w:val="24"/>
          <w:szCs w:val="24"/>
          <w:lang w:val="ro-RO"/>
        </w:rPr>
        <w:t xml:space="preserve"> Structura planului de operare, în conformitate cu prevederile art. 25 alin.(6) din Legea nr. 209 din 29 iulie 2016 privind deșeurile cuprinde următaorele. </w:t>
      </w:r>
    </w:p>
    <w:p w:rsidR="00A3375C" w:rsidRPr="00A3375C" w:rsidRDefault="00A3375C" w:rsidP="00A3375C">
      <w:pPr>
        <w:rPr>
          <w:rFonts w:asciiTheme="majorBidi" w:hAnsiTheme="majorBidi" w:cstheme="majorBidi"/>
          <w:b/>
          <w:color w:val="000000"/>
          <w:sz w:val="24"/>
          <w:szCs w:val="24"/>
          <w:lang w:val="ro-RO"/>
        </w:rPr>
      </w:pP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b/>
          <w:color w:val="000000"/>
          <w:sz w:val="24"/>
          <w:szCs w:val="24"/>
          <w:lang w:val="ro-RO"/>
        </w:rPr>
        <w:t>1)</w:t>
      </w:r>
      <w:r w:rsidRPr="00A3375C">
        <w:rPr>
          <w:rFonts w:asciiTheme="majorBidi" w:hAnsiTheme="majorBidi" w:cstheme="majorBidi"/>
          <w:color w:val="000000"/>
          <w:sz w:val="24"/>
          <w:szCs w:val="24"/>
          <w:lang w:val="ro-RO"/>
        </w:rPr>
        <w:t xml:space="preserve"> Date de identificare: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a) date de identificare;</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b) adresa juridică și indicarea adreselor tuturor filialelor din țară, după caz;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c) datele de contact;</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d) cuprinsul planului de operare;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e) numele și funcția semnatarului planului de operare.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Pentru producătorii care își onorează responsabilitatea în mod colectiv, planul de operare  reprezintă un plan comun, care descrie modul în care trebuie implementate prevederile specifice menționate în pct. 34 din Regulament.  Fiecare producător individual care face obiectul responsabilității extinse a producătorului trebuie să se înscrie într-un plan colectiv.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Suplimentar la cerințele menționate la literele a)-e), un plan colectiv conține cel puțin o descriere: </w:t>
      </w:r>
    </w:p>
    <w:p w:rsidR="00A3375C" w:rsidRPr="00A3375C" w:rsidRDefault="00A3375C" w:rsidP="00A3375C">
      <w:pPr>
        <w:tabs>
          <w:tab w:val="left" w:pos="993"/>
        </w:tabs>
        <w:ind w:firstLine="709"/>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a) a producătorilor care prezintă planul colectiv; </w:t>
      </w:r>
    </w:p>
    <w:p w:rsidR="00A3375C" w:rsidRPr="00A3375C" w:rsidRDefault="00A3375C" w:rsidP="00A3375C">
      <w:pPr>
        <w:tabs>
          <w:tab w:val="left" w:pos="993"/>
        </w:tabs>
        <w:ind w:firstLine="709"/>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b) a angajamentelor specifice și a obiectivelor fiecărui producător.</w:t>
      </w:r>
    </w:p>
    <w:p w:rsidR="00A3375C" w:rsidRPr="00A3375C" w:rsidRDefault="00A3375C" w:rsidP="00A3375C">
      <w:pPr>
        <w:rPr>
          <w:rFonts w:asciiTheme="majorBidi" w:hAnsiTheme="majorBidi" w:cstheme="majorBidi"/>
          <w:b/>
          <w:color w:val="000000"/>
          <w:sz w:val="24"/>
          <w:szCs w:val="24"/>
          <w:lang w:val="ro-RO"/>
        </w:rPr>
      </w:pP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b/>
          <w:color w:val="000000"/>
          <w:sz w:val="24"/>
          <w:szCs w:val="24"/>
          <w:lang w:val="ro-RO"/>
        </w:rPr>
        <w:t>2</w:t>
      </w:r>
      <w:r w:rsidRPr="00A3375C">
        <w:rPr>
          <w:rFonts w:asciiTheme="majorBidi" w:hAnsiTheme="majorBidi" w:cstheme="majorBidi"/>
          <w:color w:val="000000"/>
          <w:sz w:val="24"/>
          <w:szCs w:val="24"/>
          <w:lang w:val="ro-RO"/>
        </w:rPr>
        <w:t xml:space="preserve">) Obiectul: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a) indicarea categoriei/categoriilor de deșeuri care fac obiectul planului de operare și originea acestuia (gospodării casnice/business);</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b) descrierea clară a tuturor echipamentelor pe care compania le plasează pe piață ca producător/importator. Indicarea categoriei de echipament din anexa nr.1B la Regulament;</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c) </w:t>
      </w:r>
      <w:r w:rsidRPr="00A3375C">
        <w:rPr>
          <w:rFonts w:asciiTheme="majorBidi" w:hAnsiTheme="majorBidi" w:cstheme="majorBidi"/>
          <w:sz w:val="24"/>
          <w:szCs w:val="24"/>
          <w:lang w:val="ro-RO"/>
        </w:rPr>
        <w:t xml:space="preserve">estimarea cantități anuale </w:t>
      </w:r>
      <w:r w:rsidRPr="00A3375C">
        <w:rPr>
          <w:rFonts w:asciiTheme="majorBidi" w:hAnsiTheme="majorBidi" w:cstheme="majorBidi"/>
          <w:color w:val="000000"/>
          <w:sz w:val="24"/>
          <w:szCs w:val="24"/>
          <w:lang w:val="ro-RO"/>
        </w:rPr>
        <w:t>de echipamente care fac obiectul planului de operare pe categorii.</w:t>
      </w:r>
    </w:p>
    <w:p w:rsidR="00A3375C" w:rsidRPr="00A3375C" w:rsidRDefault="00A3375C" w:rsidP="00A3375C">
      <w:pPr>
        <w:rPr>
          <w:rFonts w:asciiTheme="majorBidi" w:hAnsiTheme="majorBidi" w:cstheme="majorBidi"/>
          <w:b/>
          <w:bCs/>
          <w:color w:val="000000"/>
          <w:sz w:val="24"/>
          <w:szCs w:val="24"/>
          <w:lang w:val="ro-RO"/>
        </w:rPr>
      </w:pP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b/>
          <w:bCs/>
          <w:color w:val="000000"/>
          <w:sz w:val="24"/>
          <w:szCs w:val="24"/>
          <w:lang w:val="ro-RO"/>
        </w:rPr>
        <w:t>3)</w:t>
      </w:r>
      <w:r w:rsidRPr="00A3375C">
        <w:rPr>
          <w:rFonts w:asciiTheme="majorBidi" w:hAnsiTheme="majorBidi" w:cstheme="majorBidi"/>
          <w:color w:val="000000"/>
          <w:sz w:val="24"/>
          <w:szCs w:val="24"/>
          <w:lang w:val="ro-RO"/>
        </w:rPr>
        <w:t xml:space="preserve"> Acțiuni: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a) descrierea modului în care sînt îndeplinite măsurile menționate la pct. 34 din Regulament, în special a următoarelor: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măsurile privind prevenirea și reutilizarea calitativă și cantitativă a deșeurilor, cum ar fi „Proiectare pentru reciclare”, reducerea cantității de deșeuri periculoase și a materialelor potențial periculoase din produsele plasate pe piață, oferirea datelor privind componentele periculoase ale echipamentului;</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măsurile referitoare la colectarea selectivă a deșeurilor;</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măsurile pentru colectarea optimă și maximă a deșeurilor;</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măsurile privind tratarea optimă a deșeurilor în conformitate cu cerințele de mediu; acțiunile pentru atingerea obiectivelor de reciclare stabilite de Regulament pe durata planului, atașînd o listă de operatori pentru reutilizare și reciclare, inclusiv dovezi de colaborare;</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măsurile privind înregistrarea corectă a fluxurilor de deșeuri;</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lastRenderedPageBreak/>
        <w:t>- măsurile privind acoperirea costurilor de operare a punctelor de colectare municipale;</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măsurile privind sensibilizarea între diferitele grupuri-țintă;</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b) rețeaua punctelor de colectare, cu indicarea adreselor exacte unde pot fi livrate DEEE, cu respectarea prevederilor pct. 19-24 din Regulament;</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c) raportarea anuală în SIAMD, în conformitate cu pct. 90 din Regulament, a următoarelor informații:</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 cantitatea totală de EEE (în kg și bucăți), în funcție de categorie, plasată pe piață;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cantitatea totală de EEE, EEE (în kg și bucăți) în funcție de categorie, colectată pentru atingerea țintelor la fiecare punct de colectare;</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 cantitatea totală de EEE, EEE (în kg și bucăți) reutilizată în funcție de categorie, cu indicarea instalației unde a fost efectuată reutilizarea;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cantitatea totală de echipamente electrice și electronice propuse fiecărui centru de reutilizare și de valorificare;</w:t>
      </w:r>
    </w:p>
    <w:p w:rsidR="00A3375C" w:rsidRPr="00A3375C" w:rsidRDefault="00A3375C" w:rsidP="00A3375C">
      <w:pPr>
        <w:ind w:firstLine="709"/>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 cantitatea totală de echipamente reutilizate ca echipament complet;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  cantitatea totală de materiale (feroase, neferoase, materiale plastice și altele) provenite din tratarea DEEE pe categorii de EEE și exprimate în kg, care au fost reciclate, recuperate, eliminate prin incinerare sau depozitate;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 cantitatea totală de deșeuri periculoase rezultate din tratarea DEEE, pe categorii de EEE și exprimate în kg;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compoziția medie a EEE plasate pe piață și cărora li se aplică acest plan, indicînd,  cel puțin, cantitatea de materiale feroase, neferoase din materiale plastice și cantitățile de deșeuri periculoase și materiale potențial periculoase în EEE plasate pe piață. Trebuie indicate toate datele disponibile privind componentele și materialele periculoase ale echipamentului;</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  lista organizațiilor care colectează DEEE, le sortează pentru reutilizare și/ sau le prelucrează pe categorii de EEE (în interiorul sau în afara țării);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în funcție de instalația de tratare și de categoria DEEE, modul în care are loc tratarea DEEE, descrierea calitativă și cantitativă a procesului de tratare, de la recuperare la eliminare și recuperarea energetică.</w:t>
      </w:r>
    </w:p>
    <w:p w:rsidR="00A3375C" w:rsidRPr="00A3375C" w:rsidRDefault="00A3375C" w:rsidP="00A3375C">
      <w:pPr>
        <w:rPr>
          <w:rFonts w:asciiTheme="majorBidi" w:hAnsiTheme="majorBidi" w:cstheme="majorBidi"/>
          <w:sz w:val="24"/>
          <w:szCs w:val="24"/>
          <w:lang w:val="ro-RO"/>
        </w:rPr>
      </w:pPr>
      <w:r w:rsidRPr="00A3375C">
        <w:rPr>
          <w:rFonts w:asciiTheme="majorBidi" w:hAnsiTheme="majorBidi" w:cstheme="majorBidi"/>
          <w:b/>
          <w:bCs/>
          <w:sz w:val="24"/>
          <w:szCs w:val="24"/>
          <w:lang w:val="ro-RO"/>
        </w:rPr>
        <w:t>4)</w:t>
      </w:r>
      <w:r w:rsidRPr="00A3375C">
        <w:rPr>
          <w:rFonts w:asciiTheme="majorBidi" w:hAnsiTheme="majorBidi" w:cstheme="majorBidi"/>
          <w:sz w:val="24"/>
          <w:szCs w:val="24"/>
          <w:lang w:val="ro-RO"/>
        </w:rPr>
        <w:t xml:space="preserve"> Planul financiar pentru perioada de 5 ani.</w:t>
      </w:r>
    </w:p>
    <w:p w:rsidR="00A3375C" w:rsidRPr="00A3375C" w:rsidRDefault="00A3375C" w:rsidP="00A3375C">
      <w:pPr>
        <w:tabs>
          <w:tab w:val="left" w:pos="709"/>
        </w:tabs>
        <w:rPr>
          <w:rFonts w:asciiTheme="majorBidi" w:hAnsiTheme="majorBidi" w:cstheme="majorBidi"/>
          <w:b/>
          <w:bCs/>
          <w:color w:val="000000"/>
          <w:sz w:val="24"/>
          <w:szCs w:val="24"/>
          <w:lang w:val="ro-RO"/>
        </w:rPr>
      </w:pPr>
    </w:p>
    <w:p w:rsidR="00A3375C" w:rsidRPr="00A3375C" w:rsidRDefault="00A3375C" w:rsidP="00A3375C">
      <w:pPr>
        <w:tabs>
          <w:tab w:val="left" w:pos="709"/>
        </w:tabs>
        <w:rPr>
          <w:rFonts w:asciiTheme="majorBidi" w:hAnsiTheme="majorBidi" w:cstheme="majorBidi"/>
          <w:color w:val="000000"/>
          <w:sz w:val="24"/>
          <w:szCs w:val="24"/>
          <w:lang w:val="ro-RO"/>
        </w:rPr>
      </w:pPr>
      <w:r w:rsidRPr="00A3375C">
        <w:rPr>
          <w:rFonts w:asciiTheme="majorBidi" w:hAnsiTheme="majorBidi" w:cstheme="majorBidi"/>
          <w:b/>
          <w:bCs/>
          <w:color w:val="000000"/>
          <w:sz w:val="24"/>
          <w:szCs w:val="24"/>
          <w:lang w:val="ro-RO"/>
        </w:rPr>
        <w:t>5)</w:t>
      </w:r>
      <w:r w:rsidRPr="00A3375C">
        <w:rPr>
          <w:rFonts w:asciiTheme="majorBidi" w:hAnsiTheme="majorBidi" w:cstheme="majorBidi"/>
          <w:color w:val="000000"/>
          <w:sz w:val="24"/>
          <w:szCs w:val="24"/>
          <w:lang w:val="ro-RO"/>
        </w:rPr>
        <w:t xml:space="preserve"> Angajamentele</w:t>
      </w:r>
    </w:p>
    <w:p w:rsidR="00A3375C" w:rsidRPr="00A3375C" w:rsidRDefault="00A3375C" w:rsidP="00A3375C">
      <w:pPr>
        <w:tabs>
          <w:tab w:val="left" w:pos="709"/>
        </w:tabs>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Angajamentul specific (semnat și datat de producător sau, după caz, de o persoană fizică autorizată să reprezinte societatea), precum că deșeurile care fac obiectul planului de operare și care sînt colectate de acesta pentru aplicarea prezentului Regulament sînt: </w:t>
      </w:r>
    </w:p>
    <w:p w:rsidR="00A3375C" w:rsidRPr="00A3375C" w:rsidRDefault="00A3375C" w:rsidP="00A3375C">
      <w:pPr>
        <w:tabs>
          <w:tab w:val="left" w:pos="709"/>
        </w:tabs>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1) acceptate gratuit de către acesta, cu excepția cazului în care se prevede altfel în Regulament; </w:t>
      </w:r>
    </w:p>
    <w:p w:rsidR="00A3375C" w:rsidRPr="00A3375C" w:rsidRDefault="00A3375C" w:rsidP="00A3375C">
      <w:pPr>
        <w:tabs>
          <w:tab w:val="left" w:pos="709"/>
        </w:tabs>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2) sînt tratate de acesta în conformitate cu cerințele prevăzute în Regulament. </w:t>
      </w:r>
    </w:p>
    <w:p w:rsidR="00A3375C" w:rsidRPr="00A3375C" w:rsidRDefault="00A3375C" w:rsidP="00A3375C">
      <w:pPr>
        <w:tabs>
          <w:tab w:val="left" w:pos="709"/>
        </w:tabs>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De asemenea, angajamentul precizează modul în care sînt acoperite costurile de colectare, selectare și tratare a tuturor DEEE. </w:t>
      </w:r>
    </w:p>
    <w:p w:rsidR="00A3375C" w:rsidRPr="00A3375C" w:rsidRDefault="00A3375C" w:rsidP="00A3375C">
      <w:pPr>
        <w:rPr>
          <w:rFonts w:asciiTheme="majorBidi" w:hAnsiTheme="majorBidi" w:cstheme="majorBidi"/>
          <w:b/>
          <w:bCs/>
          <w:color w:val="000000"/>
          <w:sz w:val="24"/>
          <w:szCs w:val="24"/>
          <w:lang w:val="ro-RO"/>
        </w:rPr>
      </w:pP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b/>
          <w:bCs/>
          <w:color w:val="000000"/>
          <w:sz w:val="24"/>
          <w:szCs w:val="24"/>
          <w:lang w:val="ro-RO"/>
        </w:rPr>
        <w:t>2.</w:t>
      </w:r>
      <w:r w:rsidRPr="00A3375C">
        <w:rPr>
          <w:rFonts w:asciiTheme="majorBidi" w:hAnsiTheme="majorBidi" w:cstheme="majorBidi"/>
          <w:color w:val="000000"/>
          <w:sz w:val="24"/>
          <w:szCs w:val="24"/>
          <w:lang w:val="ro-RO"/>
        </w:rPr>
        <w:t xml:space="preserve"> Aprobarea planului de operare se realizează după cum urmează.</w:t>
      </w:r>
    </w:p>
    <w:p w:rsidR="00A3375C" w:rsidRPr="00A3375C" w:rsidRDefault="00A3375C" w:rsidP="00A3375C">
      <w:pPr>
        <w:ind w:firstLine="709"/>
        <w:rPr>
          <w:rFonts w:asciiTheme="majorBidi" w:hAnsiTheme="majorBidi" w:cstheme="majorBidi"/>
          <w:color w:val="000000"/>
          <w:sz w:val="24"/>
          <w:szCs w:val="24"/>
          <w:lang w:val="ro-RO"/>
        </w:rPr>
      </w:pPr>
      <w:r w:rsidRPr="00A3375C">
        <w:rPr>
          <w:rFonts w:asciiTheme="majorBidi" w:hAnsiTheme="majorBidi" w:cstheme="majorBidi"/>
          <w:b/>
          <w:bCs/>
          <w:color w:val="000000"/>
          <w:sz w:val="24"/>
          <w:szCs w:val="24"/>
          <w:lang w:val="ro-RO"/>
        </w:rPr>
        <w:t>1)</w:t>
      </w:r>
      <w:r w:rsidRPr="00A3375C">
        <w:rPr>
          <w:rFonts w:asciiTheme="majorBidi" w:hAnsiTheme="majorBidi" w:cstheme="majorBidi"/>
          <w:color w:val="000000"/>
          <w:sz w:val="24"/>
          <w:szCs w:val="24"/>
          <w:lang w:val="ro-RO"/>
        </w:rPr>
        <w:t xml:space="preserve"> Cererea de aprobare a planului de operare se depune la organul central de mediu al administrației publice, împreună cu setul de documente pentru obținerea autorizației, prin scrisoare recomandată, sau se depune la organul central de mediu al administrației publice cu dovada primirii, de preferință în numele solicitantului, semnată și datată de solicitant sau, după caz, de o persoană fizică autorizată, și include următoarele anexe: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a) copia acordului de asociere, împreună cu oricare amendamente la acest memorandum din ultimii cinci ani, după caz;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lastRenderedPageBreak/>
        <w:t xml:space="preserve">b) proiectul planului de operare pentru care este solicitată autorizarea. </w:t>
      </w:r>
    </w:p>
    <w:p w:rsidR="00A3375C" w:rsidRPr="00A3375C" w:rsidRDefault="00A3375C" w:rsidP="00A3375C">
      <w:pPr>
        <w:rPr>
          <w:rFonts w:asciiTheme="majorBidi" w:hAnsiTheme="majorBidi" w:cstheme="majorBidi"/>
          <w:b/>
          <w:bCs/>
          <w:color w:val="000000"/>
          <w:sz w:val="24"/>
          <w:szCs w:val="24"/>
          <w:lang w:val="ro-RO"/>
        </w:rPr>
      </w:pPr>
    </w:p>
    <w:p w:rsidR="00A3375C" w:rsidRPr="00A3375C" w:rsidRDefault="00A3375C" w:rsidP="00A3375C">
      <w:pPr>
        <w:rPr>
          <w:rFonts w:asciiTheme="majorBidi" w:hAnsiTheme="majorBidi" w:cstheme="majorBidi"/>
          <w:sz w:val="24"/>
          <w:szCs w:val="24"/>
          <w:lang w:val="ro-RO"/>
        </w:rPr>
      </w:pPr>
      <w:r w:rsidRPr="00A3375C">
        <w:rPr>
          <w:rFonts w:asciiTheme="majorBidi" w:hAnsiTheme="majorBidi" w:cstheme="majorBidi"/>
          <w:b/>
          <w:bCs/>
          <w:color w:val="000000"/>
          <w:sz w:val="24"/>
          <w:szCs w:val="24"/>
          <w:lang w:val="ro-RO"/>
        </w:rPr>
        <w:t xml:space="preserve">2) </w:t>
      </w:r>
      <w:r w:rsidRPr="00A3375C">
        <w:rPr>
          <w:rFonts w:asciiTheme="majorBidi" w:hAnsiTheme="majorBidi" w:cstheme="majorBidi"/>
          <w:color w:val="000000"/>
          <w:sz w:val="24"/>
          <w:szCs w:val="24"/>
          <w:lang w:val="ro-RO"/>
        </w:rPr>
        <w:t>Planul de operare se aprobă pentru o perioadă de maximum cinci ani.</w:t>
      </w:r>
    </w:p>
    <w:p w:rsidR="00A3375C" w:rsidRPr="00A3375C" w:rsidRDefault="00A3375C" w:rsidP="00A3375C">
      <w:pPr>
        <w:rPr>
          <w:rFonts w:asciiTheme="majorBidi" w:hAnsiTheme="majorBidi" w:cstheme="majorBidi"/>
          <w:b/>
          <w:bCs/>
          <w:color w:val="000000"/>
          <w:sz w:val="24"/>
          <w:szCs w:val="24"/>
          <w:lang w:val="ro-RO"/>
        </w:rPr>
      </w:pPr>
    </w:p>
    <w:p w:rsidR="00A3375C" w:rsidRPr="00A3375C" w:rsidRDefault="00A3375C" w:rsidP="00A3375C">
      <w:pPr>
        <w:rPr>
          <w:rFonts w:asciiTheme="majorBidi" w:hAnsiTheme="majorBidi" w:cstheme="majorBidi"/>
          <w:sz w:val="24"/>
          <w:szCs w:val="24"/>
          <w:lang w:val="ro-RO"/>
        </w:rPr>
      </w:pPr>
      <w:r w:rsidRPr="00A3375C">
        <w:rPr>
          <w:rFonts w:asciiTheme="majorBidi" w:hAnsiTheme="majorBidi" w:cstheme="majorBidi"/>
          <w:b/>
          <w:bCs/>
          <w:color w:val="000000"/>
          <w:sz w:val="24"/>
          <w:szCs w:val="24"/>
          <w:lang w:val="ro-RO"/>
        </w:rPr>
        <w:t xml:space="preserve">3) </w:t>
      </w:r>
      <w:r w:rsidRPr="00A3375C">
        <w:rPr>
          <w:rFonts w:asciiTheme="majorBidi" w:hAnsiTheme="majorBidi" w:cstheme="majorBidi"/>
          <w:color w:val="000000"/>
          <w:sz w:val="24"/>
          <w:szCs w:val="24"/>
          <w:lang w:val="ro-RO"/>
        </w:rPr>
        <w:t xml:space="preserve">În cazul în care planul se aprobă pentru o perioadă mai scurtă, organul central de mediu al administrației publice trebuie să argumenteze decizia luată. </w:t>
      </w:r>
    </w:p>
    <w:p w:rsidR="00A3375C" w:rsidRPr="00A3375C" w:rsidRDefault="00A3375C" w:rsidP="00A3375C">
      <w:pPr>
        <w:rPr>
          <w:rFonts w:asciiTheme="majorBidi" w:hAnsiTheme="majorBidi" w:cstheme="majorBidi"/>
          <w:b/>
          <w:bCs/>
          <w:color w:val="000000"/>
          <w:sz w:val="24"/>
          <w:szCs w:val="24"/>
          <w:lang w:val="ro-RO"/>
        </w:rPr>
      </w:pPr>
    </w:p>
    <w:p w:rsidR="00A3375C" w:rsidRPr="00A3375C" w:rsidRDefault="00A3375C" w:rsidP="00A3375C">
      <w:pPr>
        <w:rPr>
          <w:rFonts w:asciiTheme="majorBidi" w:hAnsiTheme="majorBidi" w:cstheme="majorBidi"/>
          <w:sz w:val="24"/>
          <w:szCs w:val="24"/>
          <w:lang w:val="ro-RO"/>
        </w:rPr>
      </w:pPr>
      <w:r w:rsidRPr="00A3375C">
        <w:rPr>
          <w:rFonts w:asciiTheme="majorBidi" w:hAnsiTheme="majorBidi" w:cstheme="majorBidi"/>
          <w:b/>
          <w:bCs/>
          <w:color w:val="000000"/>
          <w:sz w:val="24"/>
          <w:szCs w:val="24"/>
          <w:lang w:val="ro-RO"/>
        </w:rPr>
        <w:t xml:space="preserve">4) </w:t>
      </w:r>
      <w:r w:rsidRPr="00A3375C">
        <w:rPr>
          <w:rFonts w:asciiTheme="majorBidi" w:hAnsiTheme="majorBidi" w:cstheme="majorBidi"/>
          <w:color w:val="000000"/>
          <w:sz w:val="24"/>
          <w:szCs w:val="24"/>
          <w:lang w:val="ro-RO"/>
        </w:rPr>
        <w:t xml:space="preserve"> Cererea de aprobare poate fi depusă repetat în conformitate cu procedura prevăzută la subpct. 1-3 pentru o perioadă maximă de cinci ani. </w:t>
      </w:r>
    </w:p>
    <w:p w:rsidR="00A3375C" w:rsidRPr="00A3375C" w:rsidRDefault="00A3375C" w:rsidP="00A3375C">
      <w:pPr>
        <w:rPr>
          <w:rFonts w:asciiTheme="majorBidi" w:hAnsiTheme="majorBidi" w:cstheme="majorBidi"/>
          <w:b/>
          <w:bCs/>
          <w:color w:val="000000"/>
          <w:sz w:val="24"/>
          <w:szCs w:val="24"/>
          <w:lang w:val="ro-RO"/>
        </w:rPr>
      </w:pPr>
    </w:p>
    <w:p w:rsidR="00A3375C" w:rsidRPr="00A3375C" w:rsidRDefault="00A3375C" w:rsidP="00A3375C">
      <w:pPr>
        <w:rPr>
          <w:rFonts w:asciiTheme="majorBidi" w:hAnsiTheme="majorBidi" w:cstheme="majorBidi"/>
          <w:sz w:val="24"/>
          <w:szCs w:val="24"/>
          <w:lang w:val="ro-RO"/>
        </w:rPr>
      </w:pPr>
      <w:r w:rsidRPr="00A3375C">
        <w:rPr>
          <w:rFonts w:asciiTheme="majorBidi" w:hAnsiTheme="majorBidi" w:cstheme="majorBidi"/>
          <w:b/>
          <w:bCs/>
          <w:color w:val="000000"/>
          <w:sz w:val="24"/>
          <w:szCs w:val="24"/>
          <w:lang w:val="ro-RO"/>
        </w:rPr>
        <w:t>5)</w:t>
      </w:r>
      <w:r w:rsidRPr="00A3375C">
        <w:rPr>
          <w:rFonts w:asciiTheme="majorBidi" w:hAnsiTheme="majorBidi" w:cstheme="majorBidi"/>
          <w:color w:val="000000"/>
          <w:sz w:val="24"/>
          <w:szCs w:val="24"/>
          <w:lang w:val="ro-RO"/>
        </w:rPr>
        <w:t xml:space="preserve">  Organul central de mediu al administrației publice poate: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a) să abroge aprobarea planului de operare la cererea solicitantului;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b) să abroge oficial sau să suspende aprobarea planului, în cazul în care a identificat o încălcare a cerințelor Regulamentului. Cu excepția cazului în care există un pericol iminent și imediat pentru sănătate sau pentru mediu, deținătorul planului de operare este informat cu privire la decizia luată și motivele care stau la baza acesteia, printr-o scrisoare recomandată, cu cel puțin 14 zile înainte de notificarea deciziei respective.  În acest timp, deținătorul planului de operare se poate apăra sau își poate aduce în ordine starea lucrurilor.  </w:t>
      </w:r>
    </w:p>
    <w:p w:rsidR="00A3375C" w:rsidRPr="00A3375C" w:rsidRDefault="00A3375C" w:rsidP="00A3375C">
      <w:pPr>
        <w:rPr>
          <w:rFonts w:asciiTheme="majorBidi" w:hAnsiTheme="majorBidi" w:cstheme="majorBidi"/>
          <w:b/>
          <w:bCs/>
          <w:color w:val="000000"/>
          <w:sz w:val="24"/>
          <w:szCs w:val="24"/>
          <w:lang w:val="ro-RO"/>
        </w:rPr>
      </w:pP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b/>
          <w:bCs/>
          <w:color w:val="000000"/>
          <w:sz w:val="24"/>
          <w:szCs w:val="24"/>
          <w:lang w:val="ro-RO"/>
        </w:rPr>
        <w:t xml:space="preserve">6) </w:t>
      </w:r>
      <w:r w:rsidRPr="00A3375C">
        <w:rPr>
          <w:rFonts w:asciiTheme="majorBidi" w:hAnsiTheme="majorBidi" w:cstheme="majorBidi"/>
          <w:color w:val="000000"/>
          <w:sz w:val="24"/>
          <w:szCs w:val="24"/>
          <w:lang w:val="ro-RO"/>
        </w:rPr>
        <w:t xml:space="preserve">Deținătorul planului de operare este obligat să informeze imediat organul central de mediu al administrației publice, prin scrisoare recomandată, privind modificarea următoarelor informații din dosarul său: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1) datele de identificare ale companiei;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2) adresa sau datele de contact;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3) obiectul planului de operare aprobat; </w:t>
      </w: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color w:val="000000"/>
          <w:sz w:val="24"/>
          <w:szCs w:val="24"/>
          <w:lang w:val="ro-RO"/>
        </w:rPr>
        <w:t xml:space="preserve">4) angajamentele din planul de operare aprobat. </w:t>
      </w:r>
    </w:p>
    <w:p w:rsidR="00A3375C" w:rsidRPr="00A3375C" w:rsidRDefault="00A3375C" w:rsidP="00A3375C">
      <w:pPr>
        <w:rPr>
          <w:rFonts w:asciiTheme="majorBidi" w:hAnsiTheme="majorBidi" w:cstheme="majorBidi"/>
          <w:b/>
          <w:bCs/>
          <w:color w:val="000000"/>
          <w:sz w:val="24"/>
          <w:szCs w:val="24"/>
          <w:lang w:val="ro-RO"/>
        </w:rPr>
      </w:pPr>
    </w:p>
    <w:p w:rsidR="00A3375C" w:rsidRPr="00A3375C" w:rsidRDefault="00A3375C" w:rsidP="00A3375C">
      <w:pPr>
        <w:rPr>
          <w:rFonts w:asciiTheme="majorBidi" w:hAnsiTheme="majorBidi" w:cstheme="majorBidi"/>
          <w:color w:val="000000"/>
          <w:sz w:val="24"/>
          <w:szCs w:val="24"/>
          <w:lang w:val="ro-RO"/>
        </w:rPr>
      </w:pPr>
      <w:r w:rsidRPr="00A3375C">
        <w:rPr>
          <w:rFonts w:asciiTheme="majorBidi" w:hAnsiTheme="majorBidi" w:cstheme="majorBidi"/>
          <w:b/>
          <w:bCs/>
          <w:color w:val="000000"/>
          <w:sz w:val="24"/>
          <w:szCs w:val="24"/>
          <w:lang w:val="ro-RO"/>
        </w:rPr>
        <w:t>7)</w:t>
      </w:r>
      <w:r w:rsidRPr="00A3375C">
        <w:rPr>
          <w:rFonts w:asciiTheme="majorBidi" w:hAnsiTheme="majorBidi" w:cstheme="majorBidi"/>
          <w:color w:val="000000"/>
          <w:sz w:val="24"/>
          <w:szCs w:val="24"/>
          <w:lang w:val="ro-RO"/>
        </w:rPr>
        <w:t xml:space="preserve"> Persoana fizică sau juridică trebuie să respecte cu strictețe angajamentele incluse în planul de operare aprobat. </w:t>
      </w:r>
    </w:p>
    <w:p w:rsidR="002739CE" w:rsidRPr="00A3375C" w:rsidRDefault="002739CE">
      <w:pPr>
        <w:rPr>
          <w:sz w:val="24"/>
          <w:szCs w:val="24"/>
          <w:lang w:val="ro-RO"/>
        </w:rPr>
      </w:pPr>
    </w:p>
    <w:sectPr w:rsidR="002739CE" w:rsidRPr="00A3375C" w:rsidSect="002739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3375C"/>
    <w:rsid w:val="002739CE"/>
    <w:rsid w:val="00A33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5C"/>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3375C"/>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75C"/>
    <w:rPr>
      <w:rFonts w:ascii="Arial" w:eastAsia="Times New Roman" w:hAnsi="Arial" w:cs="Times New Roman"/>
      <w:b/>
      <w:kern w:val="28"/>
      <w:sz w:val="2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2018-03-23T13:29:00Z</dcterms:created>
  <dcterms:modified xsi:type="dcterms:W3CDTF">2018-03-23T13:30:00Z</dcterms:modified>
</cp:coreProperties>
</file>